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0C" w:rsidRDefault="006D2C0C" w:rsidP="006D2C0C">
      <w:pPr>
        <w:pStyle w:val="a3"/>
        <w:shd w:val="clear" w:color="auto" w:fill="FFFFFF"/>
        <w:spacing w:line="480" w:lineRule="auto"/>
        <w:rPr>
          <w:rFonts w:ascii="仿宋_GB2312" w:eastAsia="仿宋_GB2312" w:hAnsi="????" w:hint="eastAsia"/>
          <w:color w:val="000000"/>
          <w:sz w:val="32"/>
          <w:szCs w:val="32"/>
        </w:rPr>
      </w:pPr>
    </w:p>
    <w:p w:rsidR="006D2C0C" w:rsidRPr="00FD7A3B" w:rsidRDefault="006D2C0C" w:rsidP="006D2C0C">
      <w:pPr>
        <w:adjustRightInd w:val="0"/>
        <w:snapToGrid w:val="0"/>
        <w:spacing w:line="480" w:lineRule="exact"/>
        <w:jc w:val="left"/>
        <w:rPr>
          <w:rFonts w:eastAsia="黑体"/>
          <w:bCs/>
          <w:sz w:val="32"/>
          <w:szCs w:val="44"/>
        </w:rPr>
      </w:pPr>
      <w:r w:rsidRPr="00FD7A3B">
        <w:rPr>
          <w:rFonts w:eastAsia="黑体"/>
          <w:bCs/>
          <w:sz w:val="32"/>
          <w:szCs w:val="44"/>
        </w:rPr>
        <w:t>附件</w:t>
      </w:r>
    </w:p>
    <w:p w:rsidR="006D2C0C" w:rsidRPr="00FD7A3B" w:rsidRDefault="006D2C0C" w:rsidP="006D2C0C">
      <w:pPr>
        <w:adjustRightInd w:val="0"/>
        <w:snapToGrid w:val="0"/>
        <w:spacing w:line="480" w:lineRule="exact"/>
        <w:jc w:val="center"/>
        <w:rPr>
          <w:rFonts w:eastAsia="方正小标宋简体"/>
          <w:bCs/>
          <w:sz w:val="44"/>
          <w:szCs w:val="44"/>
        </w:rPr>
      </w:pPr>
      <w:bookmarkStart w:id="0" w:name="_GoBack"/>
      <w:r w:rsidRPr="00FD7A3B">
        <w:rPr>
          <w:rFonts w:eastAsia="方正小标宋简体"/>
          <w:bCs/>
          <w:sz w:val="44"/>
          <w:szCs w:val="44"/>
        </w:rPr>
        <w:t>教育部重点实验室评估指标体系</w:t>
      </w:r>
    </w:p>
    <w:bookmarkEnd w:id="0"/>
    <w:p w:rsidR="006D2C0C" w:rsidRPr="00FD7A3B" w:rsidRDefault="006D2C0C" w:rsidP="006D2C0C">
      <w:pPr>
        <w:adjustRightInd w:val="0"/>
        <w:snapToGrid w:val="0"/>
        <w:spacing w:line="560" w:lineRule="exact"/>
        <w:rPr>
          <w:rFonts w:eastAsia="仿宋_GB2312"/>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1097"/>
        <w:gridCol w:w="4666"/>
      </w:tblGrid>
      <w:tr w:rsidR="006D2C0C" w:rsidRPr="006D2C0C" w:rsidTr="00012A4D">
        <w:tc>
          <w:tcPr>
            <w:tcW w:w="2943" w:type="dxa"/>
            <w:vAlign w:val="center"/>
          </w:tcPr>
          <w:p w:rsidR="006D2C0C" w:rsidRPr="006D2C0C" w:rsidRDefault="006D2C0C" w:rsidP="006D2C0C">
            <w:pPr>
              <w:adjustRightInd w:val="0"/>
              <w:snapToGrid w:val="0"/>
              <w:jc w:val="center"/>
              <w:rPr>
                <w:rFonts w:eastAsia="仿宋_GB2312"/>
                <w:b/>
                <w:bCs/>
                <w:sz w:val="24"/>
                <w:szCs w:val="32"/>
              </w:rPr>
            </w:pPr>
            <w:r w:rsidRPr="006D2C0C">
              <w:rPr>
                <w:rFonts w:eastAsia="仿宋_GB2312"/>
                <w:b/>
                <w:bCs/>
                <w:sz w:val="24"/>
                <w:szCs w:val="32"/>
              </w:rPr>
              <w:t>指标</w:t>
            </w:r>
          </w:p>
        </w:tc>
        <w:tc>
          <w:tcPr>
            <w:tcW w:w="1134" w:type="dxa"/>
            <w:vAlign w:val="center"/>
          </w:tcPr>
          <w:p w:rsidR="006D2C0C" w:rsidRPr="006D2C0C" w:rsidRDefault="006D2C0C" w:rsidP="006D2C0C">
            <w:pPr>
              <w:adjustRightInd w:val="0"/>
              <w:snapToGrid w:val="0"/>
              <w:jc w:val="center"/>
              <w:rPr>
                <w:rFonts w:eastAsia="仿宋_GB2312"/>
                <w:b/>
                <w:bCs/>
                <w:sz w:val="24"/>
                <w:szCs w:val="32"/>
              </w:rPr>
            </w:pPr>
            <w:r w:rsidRPr="006D2C0C">
              <w:rPr>
                <w:rFonts w:eastAsia="仿宋_GB2312"/>
                <w:b/>
                <w:bCs/>
                <w:sz w:val="24"/>
                <w:szCs w:val="32"/>
              </w:rPr>
              <w:t>权重</w:t>
            </w:r>
          </w:p>
        </w:tc>
        <w:tc>
          <w:tcPr>
            <w:tcW w:w="4983" w:type="dxa"/>
            <w:vAlign w:val="center"/>
          </w:tcPr>
          <w:p w:rsidR="006D2C0C" w:rsidRPr="006D2C0C" w:rsidRDefault="006D2C0C" w:rsidP="006D2C0C">
            <w:pPr>
              <w:adjustRightInd w:val="0"/>
              <w:snapToGrid w:val="0"/>
              <w:jc w:val="center"/>
              <w:rPr>
                <w:rFonts w:eastAsia="仿宋_GB2312"/>
                <w:b/>
                <w:bCs/>
                <w:sz w:val="24"/>
                <w:szCs w:val="32"/>
              </w:rPr>
            </w:pPr>
            <w:r w:rsidRPr="006D2C0C">
              <w:rPr>
                <w:rFonts w:eastAsia="仿宋_GB2312"/>
                <w:b/>
                <w:bCs/>
                <w:sz w:val="24"/>
                <w:szCs w:val="32"/>
              </w:rPr>
              <w:t>要点</w:t>
            </w:r>
          </w:p>
        </w:tc>
      </w:tr>
      <w:tr w:rsidR="006D2C0C" w:rsidRPr="006D2C0C" w:rsidTr="00012A4D">
        <w:tc>
          <w:tcPr>
            <w:tcW w:w="2943" w:type="dxa"/>
            <w:vAlign w:val="center"/>
          </w:tcPr>
          <w:p w:rsidR="006D2C0C" w:rsidRPr="006D2C0C" w:rsidRDefault="006D2C0C" w:rsidP="006D2C0C">
            <w:pPr>
              <w:adjustRightInd w:val="0"/>
              <w:snapToGrid w:val="0"/>
              <w:rPr>
                <w:rFonts w:eastAsia="仿宋_GB2312"/>
                <w:bCs/>
                <w:sz w:val="24"/>
                <w:szCs w:val="32"/>
              </w:rPr>
            </w:pPr>
            <w:r w:rsidRPr="006D2C0C">
              <w:rPr>
                <w:rFonts w:eastAsia="仿宋_GB2312"/>
                <w:bCs/>
                <w:sz w:val="24"/>
                <w:szCs w:val="32"/>
              </w:rPr>
              <w:t>研究水平与贡献</w:t>
            </w:r>
          </w:p>
        </w:tc>
        <w:tc>
          <w:tcPr>
            <w:tcW w:w="1134" w:type="dxa"/>
            <w:vAlign w:val="center"/>
          </w:tcPr>
          <w:p w:rsidR="006D2C0C" w:rsidRPr="006D2C0C" w:rsidRDefault="006D2C0C" w:rsidP="006D2C0C">
            <w:pPr>
              <w:adjustRightInd w:val="0"/>
              <w:snapToGrid w:val="0"/>
              <w:jc w:val="center"/>
              <w:rPr>
                <w:rFonts w:eastAsia="仿宋_GB2312"/>
                <w:bCs/>
                <w:sz w:val="24"/>
                <w:szCs w:val="32"/>
              </w:rPr>
            </w:pPr>
            <w:r w:rsidRPr="006D2C0C">
              <w:rPr>
                <w:rFonts w:eastAsia="仿宋_GB2312"/>
                <w:bCs/>
                <w:sz w:val="24"/>
                <w:szCs w:val="32"/>
              </w:rPr>
              <w:t>40%</w:t>
            </w:r>
          </w:p>
        </w:tc>
        <w:tc>
          <w:tcPr>
            <w:tcW w:w="4983" w:type="dxa"/>
            <w:vAlign w:val="center"/>
          </w:tcPr>
          <w:p w:rsidR="006D2C0C" w:rsidRPr="006D2C0C" w:rsidRDefault="006D2C0C" w:rsidP="006D2C0C">
            <w:pPr>
              <w:adjustRightInd w:val="0"/>
              <w:snapToGrid w:val="0"/>
              <w:rPr>
                <w:rFonts w:eastAsia="仿宋_GB2312"/>
                <w:bCs/>
                <w:sz w:val="24"/>
                <w:szCs w:val="32"/>
              </w:rPr>
            </w:pPr>
            <w:r w:rsidRPr="006D2C0C">
              <w:rPr>
                <w:rFonts w:eastAsia="仿宋_GB2312"/>
                <w:bCs/>
                <w:sz w:val="24"/>
                <w:szCs w:val="32"/>
              </w:rPr>
              <w:t>总体定位与研究方向</w:t>
            </w:r>
            <w:r w:rsidRPr="006D2C0C">
              <w:rPr>
                <w:rFonts w:eastAsia="仿宋_GB2312"/>
                <w:bCs/>
                <w:sz w:val="24"/>
                <w:szCs w:val="32"/>
              </w:rPr>
              <w:t xml:space="preserve">; </w:t>
            </w:r>
            <w:r w:rsidRPr="006D2C0C">
              <w:rPr>
                <w:rFonts w:eastAsia="仿宋_GB2312"/>
                <w:bCs/>
                <w:sz w:val="24"/>
                <w:szCs w:val="32"/>
              </w:rPr>
              <w:t>代表性研究成果水平与国际学术影响；实验室的特色工作；承担科研任务情况</w:t>
            </w:r>
            <w:r w:rsidRPr="006D2C0C">
              <w:rPr>
                <w:rFonts w:eastAsia="仿宋_GB2312"/>
                <w:bCs/>
                <w:sz w:val="24"/>
                <w:szCs w:val="32"/>
              </w:rPr>
              <w:t>;</w:t>
            </w:r>
            <w:r w:rsidRPr="006D2C0C">
              <w:rPr>
                <w:rFonts w:eastAsia="仿宋_GB2312"/>
                <w:bCs/>
                <w:sz w:val="24"/>
                <w:szCs w:val="32"/>
              </w:rPr>
              <w:t>对国家、行业、区域重大需求和社会经济发展的贡献。</w:t>
            </w:r>
          </w:p>
        </w:tc>
      </w:tr>
      <w:tr w:rsidR="006D2C0C" w:rsidRPr="006D2C0C" w:rsidTr="00012A4D">
        <w:tc>
          <w:tcPr>
            <w:tcW w:w="2943" w:type="dxa"/>
            <w:vAlign w:val="center"/>
          </w:tcPr>
          <w:p w:rsidR="006D2C0C" w:rsidRPr="006D2C0C" w:rsidRDefault="006D2C0C" w:rsidP="006D2C0C">
            <w:pPr>
              <w:adjustRightInd w:val="0"/>
              <w:snapToGrid w:val="0"/>
              <w:rPr>
                <w:rFonts w:eastAsia="仿宋_GB2312"/>
                <w:bCs/>
                <w:sz w:val="24"/>
                <w:szCs w:val="32"/>
              </w:rPr>
            </w:pPr>
            <w:r w:rsidRPr="006D2C0C">
              <w:rPr>
                <w:rFonts w:eastAsia="仿宋_GB2312"/>
                <w:bCs/>
                <w:sz w:val="24"/>
                <w:szCs w:val="32"/>
              </w:rPr>
              <w:t>研究队伍建设</w:t>
            </w:r>
          </w:p>
        </w:tc>
        <w:tc>
          <w:tcPr>
            <w:tcW w:w="1134" w:type="dxa"/>
            <w:vAlign w:val="center"/>
          </w:tcPr>
          <w:p w:rsidR="006D2C0C" w:rsidRPr="006D2C0C" w:rsidRDefault="006D2C0C" w:rsidP="006D2C0C">
            <w:pPr>
              <w:adjustRightInd w:val="0"/>
              <w:snapToGrid w:val="0"/>
              <w:jc w:val="center"/>
              <w:rPr>
                <w:rFonts w:eastAsia="仿宋_GB2312"/>
                <w:bCs/>
                <w:sz w:val="24"/>
                <w:szCs w:val="32"/>
              </w:rPr>
            </w:pPr>
            <w:r w:rsidRPr="006D2C0C">
              <w:rPr>
                <w:rFonts w:eastAsia="仿宋_GB2312"/>
                <w:bCs/>
                <w:sz w:val="24"/>
                <w:szCs w:val="32"/>
              </w:rPr>
              <w:t>20%</w:t>
            </w:r>
          </w:p>
        </w:tc>
        <w:tc>
          <w:tcPr>
            <w:tcW w:w="4983" w:type="dxa"/>
            <w:vAlign w:val="center"/>
          </w:tcPr>
          <w:p w:rsidR="006D2C0C" w:rsidRPr="006D2C0C" w:rsidRDefault="006D2C0C" w:rsidP="006D2C0C">
            <w:pPr>
              <w:adjustRightInd w:val="0"/>
              <w:snapToGrid w:val="0"/>
              <w:rPr>
                <w:rFonts w:eastAsia="仿宋_GB2312"/>
                <w:bCs/>
                <w:sz w:val="24"/>
                <w:szCs w:val="32"/>
              </w:rPr>
            </w:pPr>
            <w:r w:rsidRPr="006D2C0C">
              <w:rPr>
                <w:rFonts w:eastAsia="仿宋_GB2312"/>
                <w:bCs/>
                <w:sz w:val="24"/>
                <w:szCs w:val="32"/>
              </w:rPr>
              <w:t>实验室主任与学术带头人作用</w:t>
            </w:r>
            <w:r w:rsidRPr="006D2C0C">
              <w:rPr>
                <w:rFonts w:eastAsia="仿宋_GB2312"/>
                <w:bCs/>
                <w:sz w:val="24"/>
                <w:szCs w:val="32"/>
              </w:rPr>
              <w:t>;</w:t>
            </w:r>
            <w:r w:rsidRPr="006D2C0C">
              <w:rPr>
                <w:rFonts w:eastAsia="仿宋_GB2312"/>
                <w:bCs/>
                <w:sz w:val="24"/>
                <w:szCs w:val="32"/>
              </w:rPr>
              <w:t>队伍结构与人才梯队</w:t>
            </w:r>
            <w:r w:rsidRPr="006D2C0C">
              <w:rPr>
                <w:rFonts w:eastAsia="仿宋_GB2312"/>
                <w:bCs/>
                <w:sz w:val="24"/>
                <w:szCs w:val="32"/>
              </w:rPr>
              <w:t>;</w:t>
            </w:r>
            <w:r w:rsidRPr="006D2C0C">
              <w:rPr>
                <w:rFonts w:eastAsia="仿宋_GB2312"/>
                <w:bCs/>
                <w:sz w:val="24"/>
                <w:szCs w:val="32"/>
              </w:rPr>
              <w:t>青年骨干培养与引进；访问学者与博士后研究人员。</w:t>
            </w:r>
          </w:p>
        </w:tc>
      </w:tr>
      <w:tr w:rsidR="006D2C0C" w:rsidRPr="006D2C0C" w:rsidTr="00012A4D">
        <w:tc>
          <w:tcPr>
            <w:tcW w:w="2943" w:type="dxa"/>
            <w:vAlign w:val="center"/>
          </w:tcPr>
          <w:p w:rsidR="006D2C0C" w:rsidRPr="006D2C0C" w:rsidRDefault="006D2C0C" w:rsidP="006D2C0C">
            <w:pPr>
              <w:adjustRightInd w:val="0"/>
              <w:snapToGrid w:val="0"/>
              <w:rPr>
                <w:rFonts w:eastAsia="仿宋_GB2312"/>
                <w:bCs/>
                <w:sz w:val="24"/>
                <w:szCs w:val="32"/>
              </w:rPr>
            </w:pPr>
            <w:r w:rsidRPr="006D2C0C">
              <w:rPr>
                <w:rFonts w:eastAsia="仿宋_GB2312"/>
                <w:bCs/>
                <w:sz w:val="24"/>
                <w:szCs w:val="32"/>
              </w:rPr>
              <w:t>学科发展与人才培养</w:t>
            </w:r>
          </w:p>
        </w:tc>
        <w:tc>
          <w:tcPr>
            <w:tcW w:w="1134" w:type="dxa"/>
            <w:vAlign w:val="center"/>
          </w:tcPr>
          <w:p w:rsidR="006D2C0C" w:rsidRPr="006D2C0C" w:rsidRDefault="006D2C0C" w:rsidP="006D2C0C">
            <w:pPr>
              <w:adjustRightInd w:val="0"/>
              <w:snapToGrid w:val="0"/>
              <w:jc w:val="center"/>
              <w:rPr>
                <w:rFonts w:eastAsia="仿宋_GB2312"/>
                <w:bCs/>
                <w:sz w:val="24"/>
                <w:szCs w:val="32"/>
              </w:rPr>
            </w:pPr>
            <w:r w:rsidRPr="006D2C0C">
              <w:rPr>
                <w:rFonts w:eastAsia="仿宋_GB2312"/>
                <w:bCs/>
                <w:sz w:val="24"/>
                <w:szCs w:val="32"/>
              </w:rPr>
              <w:t>20%</w:t>
            </w:r>
          </w:p>
        </w:tc>
        <w:tc>
          <w:tcPr>
            <w:tcW w:w="4983" w:type="dxa"/>
            <w:vAlign w:val="center"/>
          </w:tcPr>
          <w:p w:rsidR="006D2C0C" w:rsidRPr="006D2C0C" w:rsidRDefault="006D2C0C" w:rsidP="006D2C0C">
            <w:pPr>
              <w:adjustRightInd w:val="0"/>
              <w:snapToGrid w:val="0"/>
              <w:rPr>
                <w:rFonts w:eastAsia="仿宋_GB2312"/>
                <w:bCs/>
                <w:sz w:val="24"/>
                <w:szCs w:val="32"/>
              </w:rPr>
            </w:pPr>
            <w:r w:rsidRPr="006D2C0C">
              <w:rPr>
                <w:rFonts w:eastAsia="仿宋_GB2312"/>
                <w:bCs/>
                <w:sz w:val="24"/>
                <w:szCs w:val="32"/>
              </w:rPr>
              <w:t>推动学科建设水平提升；促进学科交叉和新兴学科发展；研究生参与科研课题及本科生参与科研活动；创新人才培养质量。</w:t>
            </w:r>
          </w:p>
        </w:tc>
      </w:tr>
      <w:tr w:rsidR="006D2C0C" w:rsidRPr="006D2C0C" w:rsidTr="00012A4D">
        <w:tc>
          <w:tcPr>
            <w:tcW w:w="2943" w:type="dxa"/>
            <w:vAlign w:val="center"/>
          </w:tcPr>
          <w:p w:rsidR="006D2C0C" w:rsidRPr="006D2C0C" w:rsidRDefault="006D2C0C" w:rsidP="006D2C0C">
            <w:pPr>
              <w:adjustRightInd w:val="0"/>
              <w:snapToGrid w:val="0"/>
              <w:rPr>
                <w:rFonts w:eastAsia="仿宋_GB2312"/>
                <w:bCs/>
                <w:sz w:val="24"/>
                <w:szCs w:val="32"/>
              </w:rPr>
            </w:pPr>
            <w:r w:rsidRPr="006D2C0C">
              <w:rPr>
                <w:rFonts w:eastAsia="仿宋_GB2312"/>
                <w:bCs/>
                <w:sz w:val="24"/>
                <w:szCs w:val="32"/>
              </w:rPr>
              <w:t>开放与运行管理</w:t>
            </w:r>
          </w:p>
        </w:tc>
        <w:tc>
          <w:tcPr>
            <w:tcW w:w="1134" w:type="dxa"/>
            <w:vAlign w:val="center"/>
          </w:tcPr>
          <w:p w:rsidR="006D2C0C" w:rsidRPr="006D2C0C" w:rsidRDefault="006D2C0C" w:rsidP="006D2C0C">
            <w:pPr>
              <w:adjustRightInd w:val="0"/>
              <w:snapToGrid w:val="0"/>
              <w:jc w:val="center"/>
              <w:rPr>
                <w:rFonts w:eastAsia="仿宋_GB2312"/>
                <w:bCs/>
                <w:sz w:val="24"/>
                <w:szCs w:val="32"/>
              </w:rPr>
            </w:pPr>
            <w:r w:rsidRPr="006D2C0C">
              <w:rPr>
                <w:rFonts w:eastAsia="仿宋_GB2312"/>
                <w:bCs/>
                <w:sz w:val="24"/>
                <w:szCs w:val="32"/>
              </w:rPr>
              <w:t>20%</w:t>
            </w:r>
          </w:p>
        </w:tc>
        <w:tc>
          <w:tcPr>
            <w:tcW w:w="4983" w:type="dxa"/>
            <w:vAlign w:val="center"/>
          </w:tcPr>
          <w:p w:rsidR="006D2C0C" w:rsidRPr="006D2C0C" w:rsidRDefault="006D2C0C" w:rsidP="006D2C0C">
            <w:pPr>
              <w:adjustRightInd w:val="0"/>
              <w:snapToGrid w:val="0"/>
              <w:rPr>
                <w:rFonts w:eastAsia="仿宋_GB2312"/>
                <w:bCs/>
                <w:sz w:val="24"/>
                <w:szCs w:val="32"/>
              </w:rPr>
            </w:pPr>
            <w:r w:rsidRPr="006D2C0C">
              <w:rPr>
                <w:rFonts w:eastAsia="仿宋_GB2312"/>
                <w:bCs/>
                <w:sz w:val="24"/>
                <w:szCs w:val="32"/>
              </w:rPr>
              <w:t>开放课题、学术交流合作；仪器设备和资源开放共享；科学传播；实验室管理、网站和内部制度建设；创新氛围和学风建设；依托高校支持。</w:t>
            </w:r>
          </w:p>
        </w:tc>
      </w:tr>
    </w:tbl>
    <w:p w:rsidR="006D2C0C" w:rsidRPr="00FD7A3B" w:rsidRDefault="006D2C0C" w:rsidP="006D2C0C">
      <w:pPr>
        <w:adjustRightInd w:val="0"/>
        <w:snapToGrid w:val="0"/>
        <w:spacing w:line="560" w:lineRule="exact"/>
        <w:rPr>
          <w:rFonts w:eastAsia="黑体"/>
          <w:sz w:val="32"/>
          <w:szCs w:val="32"/>
        </w:rPr>
      </w:pPr>
      <w:r w:rsidRPr="00FD7A3B">
        <w:rPr>
          <w:rFonts w:eastAsia="黑体"/>
          <w:sz w:val="32"/>
          <w:szCs w:val="32"/>
        </w:rPr>
        <w:t>指标体系说明：</w:t>
      </w:r>
    </w:p>
    <w:p w:rsidR="006D2C0C" w:rsidRPr="00FD7A3B" w:rsidRDefault="006D2C0C" w:rsidP="006D2C0C">
      <w:pPr>
        <w:topLinePunct/>
        <w:adjustRightInd w:val="0"/>
        <w:snapToGrid w:val="0"/>
        <w:spacing w:line="560" w:lineRule="exact"/>
        <w:ind w:firstLineChars="200" w:firstLine="640"/>
        <w:rPr>
          <w:rFonts w:eastAsia="黑体"/>
          <w:sz w:val="32"/>
          <w:szCs w:val="32"/>
        </w:rPr>
      </w:pPr>
      <w:r w:rsidRPr="00FD7A3B">
        <w:rPr>
          <w:rFonts w:eastAsia="黑体"/>
          <w:sz w:val="32"/>
          <w:szCs w:val="32"/>
        </w:rPr>
        <w:t>一、研究水平与贡献</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 xml:space="preserve">1. </w:t>
      </w:r>
      <w:r w:rsidRPr="00FD7A3B">
        <w:rPr>
          <w:rFonts w:eastAsia="楷体_GB2312"/>
          <w:b/>
          <w:sz w:val="32"/>
          <w:szCs w:val="32"/>
        </w:rPr>
        <w:t>总体定位与研究方向。</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实验室总体定位明确，思路清晰，特色鲜明。研究方向符合科学发展趋势、聚焦国家重大战略需求，服务区域和行业发展需要。各主要研究方向围绕实验室整体思路和总体目标展开，并且相互有机联系，发展良好。</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 xml:space="preserve">2. </w:t>
      </w:r>
      <w:r w:rsidRPr="00FD7A3B">
        <w:rPr>
          <w:rFonts w:eastAsia="楷体_GB2312"/>
          <w:b/>
          <w:sz w:val="32"/>
          <w:szCs w:val="32"/>
        </w:rPr>
        <w:t>承担科研任务情况。</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实验室有较强的承担重大科研任务的能力，评估期内牵头或作为主要参与单位承担了国家、地方和行业的重大科研任务，并发挥了核心作用，产生了重要科研成果</w:t>
      </w:r>
      <w:r w:rsidRPr="00FD7A3B">
        <w:rPr>
          <w:rFonts w:eastAsia="仿宋_GB2312"/>
          <w:bCs/>
          <w:sz w:val="32"/>
          <w:szCs w:val="32"/>
        </w:rPr>
        <w:t>。</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 xml:space="preserve">3. </w:t>
      </w:r>
      <w:r w:rsidRPr="00FD7A3B">
        <w:rPr>
          <w:rFonts w:eastAsia="楷体_GB2312"/>
          <w:b/>
          <w:sz w:val="32"/>
          <w:szCs w:val="32"/>
        </w:rPr>
        <w:t>代表性研究成果水平与学术影响，对国家、行业、区</w:t>
      </w:r>
      <w:r w:rsidRPr="00FD7A3B">
        <w:rPr>
          <w:rFonts w:eastAsia="楷体_GB2312"/>
          <w:b/>
          <w:sz w:val="32"/>
          <w:szCs w:val="32"/>
        </w:rPr>
        <w:lastRenderedPageBreak/>
        <w:t>域重大需求和社会经济发展的贡献。</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代表性成果是指评估期内由实验室人员在本实验室完成的重大科研成果，以及通过国内外合作研究取得的重要成果。代表性成果应是根据科学前沿和国家、行业、区域重大需求所开展的、为促进科学发展或解决关键科技问题以及为国家、行业、区域发展决策提供科技支撑等方面所取得的系列进展，而不是一些关联度不高的研究方向的成果汇总。</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代表性成果的表述应明确、具体，包括：</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1</w:t>
      </w:r>
      <w:r w:rsidRPr="00FD7A3B">
        <w:rPr>
          <w:rFonts w:eastAsia="仿宋_GB2312"/>
          <w:sz w:val="32"/>
          <w:szCs w:val="32"/>
        </w:rPr>
        <w:t>）在科学前沿探索中取得的具有较大国际影响的原创成果，如在本领域公认的优秀期刊上发表高水平学术论文，出版学术专著，得到国内外学术界公认并被广泛引用；或受邀在国际重要学术会议上发表报告，产生重要学术影响。</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2</w:t>
      </w:r>
      <w:r w:rsidRPr="00FD7A3B">
        <w:rPr>
          <w:rFonts w:eastAsia="仿宋_GB2312"/>
          <w:sz w:val="32"/>
          <w:szCs w:val="32"/>
        </w:rPr>
        <w:t>）在解决经济建设、社会发展或国家安全的重大科技问题和重大需求中，创新思想与方法，实现重要理论创新、关键技术突破或系统集成，形成国家、行业、地方重要标准或规范，拥有核心专利等自主知识产权，取得创造性成果并实现成果转化，获得良好的经济和社会效益。</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3</w:t>
      </w:r>
      <w:r w:rsidRPr="00FD7A3B">
        <w:rPr>
          <w:rFonts w:eastAsia="仿宋_GB2312"/>
          <w:sz w:val="32"/>
          <w:szCs w:val="32"/>
        </w:rPr>
        <w:t>）在重大科学仪器研制开发、实验技术方法创新和改进方面取得突破性进展。</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4</w:t>
      </w:r>
      <w:r w:rsidRPr="00FD7A3B">
        <w:rPr>
          <w:rFonts w:eastAsia="仿宋_GB2312"/>
          <w:sz w:val="32"/>
          <w:szCs w:val="32"/>
        </w:rPr>
        <w:t>）为宏观决策、社会建设、经济建设提供政策参考建议和科学依据，或建立理论模型，并被采纳实施，取得良好的社会、经济效益。</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5</w:t>
      </w:r>
      <w:r w:rsidRPr="00FD7A3B">
        <w:rPr>
          <w:rFonts w:eastAsia="仿宋_GB2312"/>
          <w:sz w:val="32"/>
          <w:szCs w:val="32"/>
        </w:rPr>
        <w:t>）基础性工作成果。基础科学数据、资料、标本等</w:t>
      </w:r>
      <w:r w:rsidRPr="00FD7A3B">
        <w:rPr>
          <w:rFonts w:eastAsia="仿宋_GB2312"/>
          <w:color w:val="000000"/>
          <w:kern w:val="0"/>
          <w:sz w:val="32"/>
          <w:szCs w:val="32"/>
          <w:lang w:val="zh-CN"/>
        </w:rPr>
        <w:t>科技资源库建设，</w:t>
      </w:r>
      <w:r w:rsidRPr="00FD7A3B">
        <w:rPr>
          <w:rFonts w:eastAsia="仿宋_GB2312"/>
          <w:sz w:val="32"/>
          <w:szCs w:val="32"/>
        </w:rPr>
        <w:t>具有权威性、系统性、完整性、科学性，并</w:t>
      </w:r>
      <w:r w:rsidRPr="00FD7A3B">
        <w:rPr>
          <w:rFonts w:eastAsia="仿宋_GB2312"/>
          <w:sz w:val="32"/>
          <w:szCs w:val="32"/>
        </w:rPr>
        <w:lastRenderedPageBreak/>
        <w:t>提供良好的公共服务和资源共享，为相关领域科学研究提供支撑。</w:t>
      </w:r>
    </w:p>
    <w:p w:rsidR="006D2C0C" w:rsidRPr="00FD7A3B" w:rsidRDefault="006D2C0C" w:rsidP="006D2C0C">
      <w:pPr>
        <w:topLinePunct/>
        <w:adjustRightInd w:val="0"/>
        <w:snapToGrid w:val="0"/>
        <w:spacing w:line="560" w:lineRule="exact"/>
        <w:ind w:firstLineChars="200" w:firstLine="640"/>
        <w:rPr>
          <w:rFonts w:eastAsia="黑体"/>
          <w:sz w:val="32"/>
          <w:szCs w:val="32"/>
        </w:rPr>
      </w:pPr>
      <w:r w:rsidRPr="00FD7A3B">
        <w:rPr>
          <w:rFonts w:eastAsia="黑体"/>
          <w:sz w:val="32"/>
          <w:szCs w:val="32"/>
        </w:rPr>
        <w:t>二、研究队伍建设</w:t>
      </w:r>
    </w:p>
    <w:p w:rsidR="006D2C0C" w:rsidRPr="00FD7A3B" w:rsidRDefault="006D2C0C" w:rsidP="006D2C0C">
      <w:pPr>
        <w:topLinePunct/>
        <w:adjustRightInd w:val="0"/>
        <w:snapToGrid w:val="0"/>
        <w:spacing w:line="560" w:lineRule="exact"/>
        <w:ind w:firstLineChars="200" w:firstLine="643"/>
        <w:rPr>
          <w:rFonts w:eastAsia="仿宋_GB2312"/>
          <w:b/>
          <w:sz w:val="32"/>
          <w:szCs w:val="32"/>
        </w:rPr>
      </w:pPr>
      <w:r w:rsidRPr="00FD7A3B">
        <w:rPr>
          <w:rFonts w:eastAsia="楷体_GB2312"/>
          <w:b/>
          <w:sz w:val="32"/>
          <w:szCs w:val="32"/>
        </w:rPr>
        <w:t xml:space="preserve">1. </w:t>
      </w:r>
      <w:r w:rsidRPr="00FD7A3B">
        <w:rPr>
          <w:rFonts w:eastAsia="楷体_GB2312"/>
          <w:b/>
          <w:sz w:val="32"/>
          <w:szCs w:val="32"/>
        </w:rPr>
        <w:t>实验室主任与学术带头人作用。</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实验室主任是本领域高水平的学术带头人，具有较强的组织管理能力，能够团结和凝聚队伍，全身心投入实验室工作，在实验室的建设和发展中起到主导作用。</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实验室在各个研究方向有高水平的学术带头人和学术骨干，学术带头人为本领域有影响的学者，对本领域的科学现状和发展有深刻理解，学术思想活跃，研究成果显著。</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 xml:space="preserve">2. </w:t>
      </w:r>
      <w:r w:rsidRPr="00FD7A3B">
        <w:rPr>
          <w:rFonts w:eastAsia="楷体_GB2312"/>
          <w:b/>
          <w:sz w:val="32"/>
          <w:szCs w:val="32"/>
        </w:rPr>
        <w:t>队伍结构与创新团队建设。</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实验室能够吸引和稳定一支高水平、多学科的人才队伍，持续开展深入、系统的研究。队伍结构合理，并在长期合作基础上围绕主要研究方向形成若干活跃的创新团队。</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实验室人员在知名国际、国内学术组织或学术期刊中担任重要职务，在国家、行业、地方科技计划中担任咨询专家。实验室学术骨干在主要研究方向上开展工作、并为代表性成果的主要完成人。</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 xml:space="preserve">3. </w:t>
      </w:r>
      <w:r w:rsidRPr="00FD7A3B">
        <w:rPr>
          <w:rFonts w:eastAsia="楷体_GB2312"/>
          <w:b/>
          <w:sz w:val="32"/>
          <w:szCs w:val="32"/>
        </w:rPr>
        <w:t>青年骨干人才引进和培养。</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制定了引进和培养优秀青年人才的政策措施，聚集和稳定了一批优秀青年人才。实验室各主要方向优秀青年人才承担科研任务情况及取得的研究成果情况，特别是</w:t>
      </w:r>
      <w:r w:rsidRPr="00FD7A3B">
        <w:rPr>
          <w:rFonts w:eastAsia="仿宋_GB2312"/>
          <w:sz w:val="32"/>
          <w:szCs w:val="32"/>
        </w:rPr>
        <w:t>40</w:t>
      </w:r>
      <w:r w:rsidRPr="00FD7A3B">
        <w:rPr>
          <w:rFonts w:eastAsia="仿宋_GB2312"/>
          <w:sz w:val="32"/>
          <w:szCs w:val="32"/>
        </w:rPr>
        <w:t>岁以下研究骨干比例及作用。青年骨干人员的成长情况，如获得人才计划支持、赴高水平研究机构访学等。</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lastRenderedPageBreak/>
        <w:t xml:space="preserve">4. </w:t>
      </w:r>
      <w:r w:rsidRPr="00FD7A3B">
        <w:rPr>
          <w:rFonts w:eastAsia="楷体_GB2312"/>
          <w:b/>
          <w:sz w:val="32"/>
          <w:szCs w:val="32"/>
        </w:rPr>
        <w:t>访问学者与博士后研究人员。</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建立访问学者制度，保持一定数量的访问学者在实验室开展合作研究，吸引国内外同领域实验室研究人员到本实验室开展访问学者研究工作。吸引国内外优秀博士毕业生等青年人才到实验室开展博士后研究工作。</w:t>
      </w:r>
    </w:p>
    <w:p w:rsidR="006D2C0C" w:rsidRPr="00FD7A3B" w:rsidRDefault="006D2C0C" w:rsidP="006D2C0C">
      <w:pPr>
        <w:topLinePunct/>
        <w:adjustRightInd w:val="0"/>
        <w:snapToGrid w:val="0"/>
        <w:spacing w:line="560" w:lineRule="exact"/>
        <w:ind w:firstLineChars="200" w:firstLine="640"/>
        <w:rPr>
          <w:rFonts w:eastAsia="黑体"/>
          <w:sz w:val="32"/>
          <w:szCs w:val="32"/>
        </w:rPr>
      </w:pPr>
      <w:r w:rsidRPr="00FD7A3B">
        <w:rPr>
          <w:rFonts w:eastAsia="黑体"/>
          <w:sz w:val="32"/>
          <w:szCs w:val="32"/>
        </w:rPr>
        <w:t>三、学科发展与人才培养</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 xml:space="preserve">1. </w:t>
      </w:r>
      <w:r w:rsidRPr="00FD7A3B">
        <w:rPr>
          <w:rFonts w:eastAsia="楷体_GB2312"/>
          <w:b/>
          <w:sz w:val="32"/>
          <w:szCs w:val="32"/>
        </w:rPr>
        <w:t>推动所依托学科、交叉学科和新兴学科发展。</w:t>
      </w:r>
    </w:p>
    <w:p w:rsidR="006D2C0C" w:rsidRPr="00FD7A3B" w:rsidRDefault="006D2C0C" w:rsidP="006D2C0C">
      <w:pPr>
        <w:topLinePunct/>
        <w:adjustRightInd w:val="0"/>
        <w:snapToGrid w:val="0"/>
        <w:spacing w:line="560" w:lineRule="exact"/>
        <w:ind w:firstLineChars="200" w:firstLine="640"/>
        <w:rPr>
          <w:rFonts w:eastAsia="仿宋_GB2312"/>
          <w:bCs/>
          <w:sz w:val="32"/>
          <w:szCs w:val="32"/>
        </w:rPr>
      </w:pPr>
      <w:r w:rsidRPr="00FD7A3B">
        <w:rPr>
          <w:rFonts w:eastAsia="仿宋_GB2312"/>
          <w:sz w:val="32"/>
          <w:szCs w:val="32"/>
        </w:rPr>
        <w:t>实验室的科学研究及人才培养能够对所依托学科的建设发展起到重要的支撑作用，通过发挥优势特色，提高水平和层次，达到本领域国内领先或国际先进水</w:t>
      </w:r>
      <w:r w:rsidRPr="00FD7A3B">
        <w:rPr>
          <w:rFonts w:eastAsia="仿宋_GB2312"/>
          <w:bCs/>
          <w:sz w:val="32"/>
          <w:szCs w:val="32"/>
        </w:rPr>
        <w:t>平。</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通过开展跨学科的交叉研究和队伍建设，形成新的研究方向，推动交叉学科和新兴学科的发展。</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 xml:space="preserve">2. </w:t>
      </w:r>
      <w:r w:rsidRPr="00FD7A3B">
        <w:rPr>
          <w:rFonts w:eastAsia="楷体_GB2312"/>
          <w:b/>
          <w:sz w:val="32"/>
          <w:szCs w:val="32"/>
        </w:rPr>
        <w:t>科教融合推动教学发展。</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实验室固定人员承担教学任务，开设主讲课程，将本领域前沿研究情况、实验室科研成果等通过多种方式转化为教学资源，并对其他机构的人才培养发挥辐射作用。实验室获得国家级、省部级教学奖励。</w:t>
      </w:r>
    </w:p>
    <w:p w:rsidR="006D2C0C" w:rsidRPr="00FD7A3B" w:rsidRDefault="006D2C0C" w:rsidP="006D2C0C">
      <w:pPr>
        <w:topLinePunct/>
        <w:adjustRightInd w:val="0"/>
        <w:snapToGrid w:val="0"/>
        <w:spacing w:line="560" w:lineRule="exact"/>
        <w:ind w:firstLineChars="200" w:firstLine="643"/>
        <w:rPr>
          <w:rFonts w:eastAsia="仿宋_GB2312"/>
          <w:b/>
          <w:sz w:val="32"/>
          <w:szCs w:val="32"/>
        </w:rPr>
      </w:pPr>
      <w:r w:rsidRPr="00FD7A3B">
        <w:rPr>
          <w:rFonts w:eastAsia="仿宋_GB2312"/>
          <w:b/>
          <w:sz w:val="32"/>
          <w:szCs w:val="32"/>
        </w:rPr>
        <w:t xml:space="preserve">3. </w:t>
      </w:r>
      <w:r w:rsidRPr="00FD7A3B">
        <w:rPr>
          <w:rFonts w:eastAsia="仿宋_GB2312"/>
          <w:b/>
          <w:sz w:val="32"/>
          <w:szCs w:val="32"/>
        </w:rPr>
        <w:t>研究生与本科生培养情况。</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1</w:t>
      </w:r>
      <w:r w:rsidRPr="00FD7A3B">
        <w:rPr>
          <w:rFonts w:eastAsia="仿宋_GB2312"/>
          <w:sz w:val="32"/>
          <w:szCs w:val="32"/>
        </w:rPr>
        <w:t>）实验室是本学科领域高水平科研人才的重要培养基地，培养质量获得同行认可。</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2</w:t>
      </w:r>
      <w:r w:rsidRPr="00FD7A3B">
        <w:rPr>
          <w:rFonts w:eastAsia="仿宋_GB2312"/>
          <w:sz w:val="32"/>
          <w:szCs w:val="32"/>
        </w:rPr>
        <w:t>）研究生能够参与实验室承担的科研任务，</w:t>
      </w:r>
      <w:proofErr w:type="gramStart"/>
      <w:r w:rsidRPr="00FD7A3B">
        <w:rPr>
          <w:rFonts w:eastAsia="仿宋_GB2312"/>
          <w:sz w:val="32"/>
          <w:szCs w:val="32"/>
        </w:rPr>
        <w:t>发表较</w:t>
      </w:r>
      <w:proofErr w:type="gramEnd"/>
      <w:r w:rsidRPr="00FD7A3B">
        <w:rPr>
          <w:rFonts w:eastAsia="仿宋_GB2312"/>
          <w:sz w:val="32"/>
          <w:szCs w:val="32"/>
        </w:rPr>
        <w:t>高水平的学术论文，积极参加国际学术交流并在高水平学术会议上发表论文和报告等。</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3</w:t>
      </w:r>
      <w:r w:rsidRPr="00FD7A3B">
        <w:rPr>
          <w:rFonts w:eastAsia="仿宋_GB2312"/>
          <w:sz w:val="32"/>
          <w:szCs w:val="32"/>
        </w:rPr>
        <w:t>）实验室能够吸纳一定数量的优秀本科生进入实验室，</w:t>
      </w:r>
      <w:r w:rsidRPr="00FD7A3B">
        <w:rPr>
          <w:rFonts w:eastAsia="仿宋_GB2312"/>
          <w:sz w:val="32"/>
          <w:szCs w:val="32"/>
        </w:rPr>
        <w:lastRenderedPageBreak/>
        <w:t>参与科学研究。</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4</w:t>
      </w:r>
      <w:r w:rsidRPr="00FD7A3B">
        <w:rPr>
          <w:rFonts w:eastAsia="仿宋_GB2312"/>
          <w:sz w:val="32"/>
          <w:szCs w:val="32"/>
        </w:rPr>
        <w:t>）实验室能够开展跨院系、跨学科的人才交流和培养，并积极与科研机构和行业企业联合培养创新人才。</w:t>
      </w:r>
    </w:p>
    <w:p w:rsidR="006D2C0C" w:rsidRPr="00FD7A3B" w:rsidRDefault="006D2C0C" w:rsidP="006D2C0C">
      <w:pPr>
        <w:pStyle w:val="a9"/>
        <w:adjustRightInd w:val="0"/>
        <w:snapToGrid w:val="0"/>
        <w:spacing w:line="560" w:lineRule="exact"/>
        <w:ind w:firstLineChars="200" w:firstLine="640"/>
        <w:rPr>
          <w:rFonts w:ascii="Times New Roman" w:eastAsia="黑体" w:hAnsi="Times New Roman"/>
          <w:sz w:val="32"/>
          <w:szCs w:val="32"/>
        </w:rPr>
      </w:pPr>
      <w:r w:rsidRPr="00FD7A3B">
        <w:rPr>
          <w:rFonts w:ascii="Times New Roman" w:eastAsia="黑体" w:hAnsi="Times New Roman"/>
          <w:bCs/>
          <w:sz w:val="32"/>
          <w:szCs w:val="32"/>
        </w:rPr>
        <w:t>四、开放交流与运行管理</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 xml:space="preserve">1. </w:t>
      </w:r>
      <w:r w:rsidRPr="00FD7A3B">
        <w:rPr>
          <w:rFonts w:eastAsia="楷体_GB2312"/>
          <w:b/>
          <w:sz w:val="32"/>
          <w:szCs w:val="32"/>
        </w:rPr>
        <w:t>开放课题与科学传播。</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实验室围绕主要研究方向设置开放课题，吸引国内外优秀人才与实验室开展合作研究，产出高质量的开放研究成果。</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实验室开展科学知识传播，定期向社会公众特别是学生开放，开展科普活动等。</w:t>
      </w:r>
    </w:p>
    <w:p w:rsidR="006D2C0C" w:rsidRPr="00FD7A3B" w:rsidRDefault="006D2C0C" w:rsidP="006D2C0C">
      <w:pPr>
        <w:topLinePunct/>
        <w:adjustRightInd w:val="0"/>
        <w:snapToGrid w:val="0"/>
        <w:spacing w:line="560" w:lineRule="exact"/>
        <w:ind w:firstLineChars="200" w:firstLine="643"/>
        <w:rPr>
          <w:rFonts w:eastAsia="仿宋_GB2312"/>
          <w:b/>
          <w:sz w:val="32"/>
          <w:szCs w:val="32"/>
        </w:rPr>
      </w:pPr>
      <w:r w:rsidRPr="00FD7A3B">
        <w:rPr>
          <w:rFonts w:eastAsia="楷体_GB2312"/>
          <w:b/>
          <w:sz w:val="32"/>
          <w:szCs w:val="32"/>
        </w:rPr>
        <w:t xml:space="preserve">2. </w:t>
      </w:r>
      <w:r w:rsidRPr="00FD7A3B">
        <w:rPr>
          <w:rFonts w:eastAsia="楷体_GB2312"/>
          <w:b/>
          <w:sz w:val="32"/>
          <w:szCs w:val="32"/>
        </w:rPr>
        <w:t>国内外学术交流与合作。</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1</w:t>
      </w:r>
      <w:r w:rsidRPr="00FD7A3B">
        <w:rPr>
          <w:rFonts w:eastAsia="仿宋_GB2312"/>
          <w:sz w:val="32"/>
          <w:szCs w:val="32"/>
        </w:rPr>
        <w:t>）实验室坚持开展高水平、高层次和实质性的国内外学术交流与合作，重视吸引高水平学者到实验室开展学术活动。</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2</w:t>
      </w:r>
      <w:r w:rsidRPr="00FD7A3B">
        <w:rPr>
          <w:rFonts w:eastAsia="仿宋_GB2312"/>
          <w:sz w:val="32"/>
          <w:szCs w:val="32"/>
        </w:rPr>
        <w:t>）积极参与国际重大科学研究计划，积极承办和参加国际性、全国性、地区性学术会议。</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3</w:t>
      </w:r>
      <w:r w:rsidRPr="00FD7A3B">
        <w:rPr>
          <w:rFonts w:eastAsia="楷体_GB2312"/>
          <w:b/>
          <w:sz w:val="32"/>
          <w:szCs w:val="32"/>
        </w:rPr>
        <w:t>．实验室日常管理、内部制度和网站建设。</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1</w:t>
      </w:r>
      <w:r w:rsidRPr="00FD7A3B">
        <w:rPr>
          <w:rFonts w:eastAsia="仿宋_GB2312"/>
          <w:sz w:val="32"/>
          <w:szCs w:val="32"/>
        </w:rPr>
        <w:t>）学术委员会由国内外同领域高水平专家组成，提倡聘请外籍专家担任学术委员会委员，并逐步达到一定比例。学术委员会应当按时召开会议，并对实验室发展、学术方向把握、研究人员聘用及评价考核</w:t>
      </w:r>
      <w:r w:rsidRPr="00FD7A3B">
        <w:rPr>
          <w:rFonts w:eastAsia="仿宋_GB2312"/>
          <w:color w:val="000000"/>
          <w:kern w:val="0"/>
          <w:sz w:val="32"/>
          <w:szCs w:val="32"/>
          <w:lang w:val="zh-CN"/>
        </w:rPr>
        <w:t>等发挥重要作用。</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2</w:t>
      </w:r>
      <w:r w:rsidRPr="00FD7A3B">
        <w:rPr>
          <w:rFonts w:eastAsia="仿宋_GB2312"/>
          <w:sz w:val="32"/>
          <w:szCs w:val="32"/>
        </w:rPr>
        <w:t>）实验室具有宽松民主、潜心研究的学术环境，注重学风建设，具有良好的创新文化氛围，激励创新的政策措施得力。</w:t>
      </w:r>
    </w:p>
    <w:p w:rsidR="006D2C0C" w:rsidRPr="00FD7A3B" w:rsidRDefault="006D2C0C" w:rsidP="006D2C0C">
      <w:pPr>
        <w:topLinePunct/>
        <w:adjustRightInd w:val="0"/>
        <w:snapToGrid w:val="0"/>
        <w:spacing w:line="560" w:lineRule="exact"/>
        <w:ind w:firstLineChars="200" w:firstLine="640"/>
        <w:rPr>
          <w:rFonts w:eastAsia="仿宋_GB2312"/>
          <w:sz w:val="32"/>
          <w:szCs w:val="32"/>
        </w:rPr>
      </w:pPr>
      <w:r w:rsidRPr="00FD7A3B">
        <w:rPr>
          <w:rFonts w:eastAsia="仿宋_GB2312"/>
          <w:sz w:val="32"/>
          <w:szCs w:val="32"/>
        </w:rPr>
        <w:t>（</w:t>
      </w:r>
      <w:r w:rsidRPr="00FD7A3B">
        <w:rPr>
          <w:rFonts w:eastAsia="仿宋_GB2312"/>
          <w:sz w:val="32"/>
          <w:szCs w:val="32"/>
        </w:rPr>
        <w:t>3</w:t>
      </w:r>
      <w:r w:rsidRPr="00FD7A3B">
        <w:rPr>
          <w:rFonts w:eastAsia="仿宋_GB2312"/>
          <w:sz w:val="32"/>
          <w:szCs w:val="32"/>
        </w:rPr>
        <w:t>）实验室规章制度健全，日常管理科学有序。开放课</w:t>
      </w:r>
      <w:r w:rsidRPr="00FD7A3B">
        <w:rPr>
          <w:rFonts w:eastAsia="仿宋_GB2312"/>
          <w:sz w:val="32"/>
          <w:szCs w:val="32"/>
        </w:rPr>
        <w:lastRenderedPageBreak/>
        <w:t>题立项、经费支出、人员聘用等重大事项决策公开透明。人员岗位职责明确，研究资料完整，环境整洁。</w:t>
      </w:r>
    </w:p>
    <w:p w:rsidR="006D2C0C" w:rsidRPr="00FD7A3B" w:rsidRDefault="006D2C0C" w:rsidP="006D2C0C">
      <w:pPr>
        <w:pStyle w:val="a9"/>
        <w:adjustRightInd w:val="0"/>
        <w:snapToGrid w:val="0"/>
        <w:spacing w:line="560" w:lineRule="exact"/>
        <w:ind w:firstLineChars="200" w:firstLine="640"/>
        <w:rPr>
          <w:rFonts w:ascii="Times New Roman" w:eastAsia="仿宋_GB2312" w:hAnsi="Times New Roman"/>
          <w:sz w:val="32"/>
          <w:szCs w:val="32"/>
        </w:rPr>
      </w:pPr>
      <w:r w:rsidRPr="00FD7A3B">
        <w:rPr>
          <w:rFonts w:ascii="Times New Roman" w:eastAsia="仿宋_GB2312" w:hAnsi="Times New Roman"/>
          <w:sz w:val="32"/>
          <w:szCs w:val="32"/>
        </w:rPr>
        <w:t>（</w:t>
      </w:r>
      <w:r w:rsidRPr="00FD7A3B">
        <w:rPr>
          <w:rFonts w:ascii="Times New Roman" w:eastAsia="仿宋_GB2312" w:hAnsi="Times New Roman"/>
          <w:sz w:val="32"/>
          <w:szCs w:val="32"/>
        </w:rPr>
        <w:t>4</w:t>
      </w:r>
      <w:r w:rsidRPr="00FD7A3B">
        <w:rPr>
          <w:rFonts w:ascii="Times New Roman" w:eastAsia="仿宋_GB2312" w:hAnsi="Times New Roman"/>
          <w:sz w:val="32"/>
          <w:szCs w:val="32"/>
        </w:rPr>
        <w:t>）实验室网站运行良好，信息丰富并且更新及时，按照规定应公开的内容能够按时发布并可供查验。</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 xml:space="preserve">4. </w:t>
      </w:r>
      <w:r w:rsidRPr="00FD7A3B">
        <w:rPr>
          <w:rFonts w:eastAsia="楷体_GB2312"/>
          <w:b/>
          <w:sz w:val="32"/>
          <w:szCs w:val="32"/>
        </w:rPr>
        <w:t>仪器设备使用与共享。</w:t>
      </w:r>
    </w:p>
    <w:p w:rsidR="006D2C0C" w:rsidRPr="00FD7A3B" w:rsidRDefault="006D2C0C" w:rsidP="006D2C0C">
      <w:pPr>
        <w:pStyle w:val="a9"/>
        <w:adjustRightInd w:val="0"/>
        <w:snapToGrid w:val="0"/>
        <w:spacing w:line="560" w:lineRule="exact"/>
        <w:ind w:firstLineChars="200" w:firstLine="640"/>
        <w:rPr>
          <w:rFonts w:ascii="Times New Roman" w:eastAsia="仿宋_GB2312" w:hAnsi="Times New Roman"/>
          <w:sz w:val="32"/>
          <w:szCs w:val="32"/>
        </w:rPr>
      </w:pPr>
      <w:r w:rsidRPr="00FD7A3B">
        <w:rPr>
          <w:rFonts w:ascii="Times New Roman" w:eastAsia="仿宋_GB2312" w:hAnsi="Times New Roman"/>
          <w:sz w:val="32"/>
          <w:szCs w:val="32"/>
        </w:rPr>
        <w:t>实验室研究条件满足科研工作需要并具有特色。仪器设备使用率高，建立了大型仪器设备开放和共享机制。实验室具备仪器设备的自主研制和更新改造能力，开展实验技术方法的创新。</w:t>
      </w:r>
    </w:p>
    <w:p w:rsidR="006D2C0C" w:rsidRPr="00FD7A3B" w:rsidRDefault="006D2C0C" w:rsidP="006D2C0C">
      <w:pPr>
        <w:topLinePunct/>
        <w:adjustRightInd w:val="0"/>
        <w:snapToGrid w:val="0"/>
        <w:spacing w:line="560" w:lineRule="exact"/>
        <w:ind w:firstLineChars="200" w:firstLine="643"/>
        <w:rPr>
          <w:rFonts w:eastAsia="楷体_GB2312"/>
          <w:b/>
          <w:sz w:val="32"/>
          <w:szCs w:val="32"/>
        </w:rPr>
      </w:pPr>
      <w:r w:rsidRPr="00FD7A3B">
        <w:rPr>
          <w:rFonts w:eastAsia="楷体_GB2312"/>
          <w:b/>
          <w:sz w:val="32"/>
          <w:szCs w:val="32"/>
        </w:rPr>
        <w:t>5.</w:t>
      </w:r>
      <w:r w:rsidRPr="00FD7A3B">
        <w:rPr>
          <w:rFonts w:eastAsia="楷体_GB2312"/>
          <w:b/>
          <w:sz w:val="32"/>
          <w:szCs w:val="32"/>
        </w:rPr>
        <w:t>依托高校支持。</w:t>
      </w:r>
    </w:p>
    <w:p w:rsidR="006D2C0C" w:rsidRPr="00FD7A3B" w:rsidRDefault="006D2C0C" w:rsidP="006D2C0C">
      <w:pPr>
        <w:pStyle w:val="a9"/>
        <w:adjustRightInd w:val="0"/>
        <w:snapToGrid w:val="0"/>
        <w:spacing w:line="560" w:lineRule="exact"/>
        <w:ind w:firstLineChars="200" w:firstLine="640"/>
        <w:rPr>
          <w:rFonts w:ascii="Times New Roman" w:eastAsia="仿宋_GB2312" w:hAnsi="Times New Roman"/>
          <w:sz w:val="32"/>
          <w:szCs w:val="32"/>
        </w:rPr>
      </w:pPr>
      <w:r w:rsidRPr="00FD7A3B">
        <w:rPr>
          <w:rFonts w:ascii="Times New Roman" w:eastAsia="仿宋_GB2312" w:hAnsi="Times New Roman"/>
          <w:sz w:val="32"/>
          <w:szCs w:val="32"/>
        </w:rPr>
        <w:t>（</w:t>
      </w:r>
      <w:r w:rsidRPr="00FD7A3B">
        <w:rPr>
          <w:rFonts w:ascii="Times New Roman" w:eastAsia="仿宋_GB2312" w:hAnsi="Times New Roman"/>
          <w:sz w:val="32"/>
          <w:szCs w:val="32"/>
        </w:rPr>
        <w:t>1</w:t>
      </w:r>
      <w:r w:rsidRPr="00FD7A3B">
        <w:rPr>
          <w:rFonts w:ascii="Times New Roman" w:eastAsia="仿宋_GB2312" w:hAnsi="Times New Roman"/>
          <w:sz w:val="32"/>
          <w:szCs w:val="32"/>
        </w:rPr>
        <w:t>）成立了实验室建设和运行管理委员会。</w:t>
      </w:r>
    </w:p>
    <w:p w:rsidR="006D2C0C" w:rsidRPr="00FD7A3B" w:rsidRDefault="006D2C0C" w:rsidP="006D2C0C">
      <w:pPr>
        <w:pStyle w:val="a9"/>
        <w:adjustRightInd w:val="0"/>
        <w:snapToGrid w:val="0"/>
        <w:spacing w:line="560" w:lineRule="exact"/>
        <w:ind w:firstLineChars="200" w:firstLine="640"/>
        <w:rPr>
          <w:rFonts w:ascii="Times New Roman" w:eastAsia="仿宋_GB2312" w:hAnsi="Times New Roman"/>
          <w:sz w:val="32"/>
          <w:szCs w:val="32"/>
        </w:rPr>
      </w:pPr>
      <w:r w:rsidRPr="00FD7A3B">
        <w:rPr>
          <w:rFonts w:ascii="Times New Roman" w:eastAsia="仿宋_GB2312" w:hAnsi="Times New Roman"/>
          <w:sz w:val="32"/>
          <w:szCs w:val="32"/>
        </w:rPr>
        <w:t>（</w:t>
      </w:r>
      <w:r w:rsidRPr="00FD7A3B">
        <w:rPr>
          <w:rFonts w:ascii="Times New Roman" w:eastAsia="仿宋_GB2312" w:hAnsi="Times New Roman"/>
          <w:sz w:val="32"/>
          <w:szCs w:val="32"/>
        </w:rPr>
        <w:t>2</w:t>
      </w:r>
      <w:r w:rsidRPr="00FD7A3B">
        <w:rPr>
          <w:rFonts w:ascii="Times New Roman" w:eastAsia="仿宋_GB2312" w:hAnsi="Times New Roman"/>
          <w:sz w:val="32"/>
          <w:szCs w:val="32"/>
        </w:rPr>
        <w:t>）将实验室基本运行经费纳入学校年度预算，并落实每年基本运行经费不低于</w:t>
      </w:r>
      <w:r w:rsidRPr="00FD7A3B">
        <w:rPr>
          <w:rFonts w:ascii="Times New Roman" w:eastAsia="仿宋_GB2312" w:hAnsi="Times New Roman"/>
          <w:sz w:val="32"/>
          <w:szCs w:val="32"/>
        </w:rPr>
        <w:t>100</w:t>
      </w:r>
      <w:r w:rsidRPr="00FD7A3B">
        <w:rPr>
          <w:rFonts w:ascii="Times New Roman" w:eastAsia="仿宋_GB2312" w:hAnsi="Times New Roman"/>
          <w:sz w:val="32"/>
          <w:szCs w:val="32"/>
        </w:rPr>
        <w:t>万元。</w:t>
      </w:r>
    </w:p>
    <w:p w:rsidR="006D2C0C" w:rsidRPr="00FD7A3B" w:rsidRDefault="006D2C0C" w:rsidP="006D2C0C">
      <w:pPr>
        <w:pStyle w:val="a9"/>
        <w:adjustRightInd w:val="0"/>
        <w:snapToGrid w:val="0"/>
        <w:spacing w:line="560" w:lineRule="exact"/>
        <w:ind w:firstLineChars="200" w:firstLine="640"/>
        <w:rPr>
          <w:rFonts w:ascii="Times New Roman" w:eastAsia="仿宋_GB2312" w:hAnsi="Times New Roman"/>
          <w:sz w:val="32"/>
          <w:szCs w:val="32"/>
        </w:rPr>
      </w:pPr>
      <w:r w:rsidRPr="00FD7A3B">
        <w:rPr>
          <w:rFonts w:ascii="Times New Roman" w:eastAsia="仿宋_GB2312" w:hAnsi="Times New Roman"/>
          <w:sz w:val="32"/>
          <w:szCs w:val="32"/>
        </w:rPr>
        <w:t>（</w:t>
      </w:r>
      <w:r w:rsidRPr="00FD7A3B">
        <w:rPr>
          <w:rFonts w:ascii="Times New Roman" w:eastAsia="仿宋_GB2312" w:hAnsi="Times New Roman"/>
          <w:sz w:val="32"/>
          <w:szCs w:val="32"/>
        </w:rPr>
        <w:t>3</w:t>
      </w:r>
      <w:r w:rsidRPr="00FD7A3B">
        <w:rPr>
          <w:rFonts w:ascii="Times New Roman" w:eastAsia="仿宋_GB2312" w:hAnsi="Times New Roman"/>
          <w:sz w:val="32"/>
          <w:szCs w:val="32"/>
        </w:rPr>
        <w:t>）在学科建设、人才引进和队伍建设、研究生培养指标、自主选题研究等方面对实验室给予重点支持。</w:t>
      </w:r>
    </w:p>
    <w:p w:rsidR="006D2C0C" w:rsidRPr="00FD7A3B" w:rsidRDefault="006D2C0C" w:rsidP="006D2C0C">
      <w:pPr>
        <w:pStyle w:val="a9"/>
        <w:adjustRightInd w:val="0"/>
        <w:snapToGrid w:val="0"/>
        <w:spacing w:line="560" w:lineRule="exact"/>
        <w:ind w:firstLineChars="200" w:firstLine="640"/>
        <w:rPr>
          <w:rFonts w:ascii="Times New Roman" w:eastAsia="仿宋_GB2312" w:hAnsi="Times New Roman"/>
          <w:sz w:val="32"/>
          <w:szCs w:val="32"/>
        </w:rPr>
      </w:pPr>
      <w:r w:rsidRPr="00FD7A3B">
        <w:rPr>
          <w:rFonts w:ascii="Times New Roman" w:eastAsia="仿宋_GB2312" w:hAnsi="Times New Roman"/>
          <w:sz w:val="32"/>
          <w:szCs w:val="32"/>
        </w:rPr>
        <w:t>（</w:t>
      </w:r>
      <w:r w:rsidRPr="00FD7A3B">
        <w:rPr>
          <w:rFonts w:ascii="Times New Roman" w:eastAsia="仿宋_GB2312" w:hAnsi="Times New Roman"/>
          <w:sz w:val="32"/>
          <w:szCs w:val="32"/>
        </w:rPr>
        <w:t>4</w:t>
      </w:r>
      <w:r w:rsidRPr="00FD7A3B">
        <w:rPr>
          <w:rFonts w:ascii="Times New Roman" w:eastAsia="仿宋_GB2312" w:hAnsi="Times New Roman"/>
          <w:sz w:val="32"/>
          <w:szCs w:val="32"/>
        </w:rPr>
        <w:t>）保障实验室仪器设备和科研用房相对集中。</w:t>
      </w:r>
    </w:p>
    <w:p w:rsidR="006D2C0C" w:rsidRPr="00FD7A3B" w:rsidRDefault="006D2C0C" w:rsidP="006D2C0C">
      <w:pPr>
        <w:pStyle w:val="a9"/>
        <w:adjustRightInd w:val="0"/>
        <w:snapToGrid w:val="0"/>
        <w:spacing w:line="560" w:lineRule="exact"/>
        <w:ind w:firstLineChars="200" w:firstLine="640"/>
        <w:rPr>
          <w:rFonts w:ascii="Times New Roman" w:eastAsia="仿宋_GB2312" w:hAnsi="Times New Roman"/>
          <w:sz w:val="32"/>
          <w:szCs w:val="32"/>
        </w:rPr>
      </w:pPr>
      <w:r w:rsidRPr="00FD7A3B">
        <w:rPr>
          <w:rFonts w:ascii="Times New Roman" w:eastAsia="仿宋_GB2312" w:hAnsi="Times New Roman"/>
          <w:sz w:val="32"/>
          <w:szCs w:val="32"/>
        </w:rPr>
        <w:t>（</w:t>
      </w:r>
      <w:r w:rsidRPr="00FD7A3B">
        <w:rPr>
          <w:rFonts w:ascii="Times New Roman" w:eastAsia="仿宋_GB2312" w:hAnsi="Times New Roman"/>
          <w:sz w:val="32"/>
          <w:szCs w:val="32"/>
        </w:rPr>
        <w:t>5</w:t>
      </w:r>
      <w:r w:rsidRPr="00FD7A3B">
        <w:rPr>
          <w:rFonts w:ascii="Times New Roman" w:eastAsia="仿宋_GB2312" w:hAnsi="Times New Roman"/>
          <w:sz w:val="32"/>
          <w:szCs w:val="32"/>
        </w:rPr>
        <w:t>）按照《教育部重点实验室建设与运行管理办法》要求，每年对实验室进行年度考核，并针对所存在的问题提出改进措施，及时协调解决实验室发展中的重大问题。</w:t>
      </w:r>
    </w:p>
    <w:p w:rsidR="006D2C0C" w:rsidRPr="00FD7A3B" w:rsidRDefault="006D2C0C" w:rsidP="006D2C0C">
      <w:pPr>
        <w:pStyle w:val="a9"/>
        <w:adjustRightInd w:val="0"/>
        <w:snapToGrid w:val="0"/>
        <w:spacing w:line="560" w:lineRule="exact"/>
        <w:ind w:firstLineChars="200" w:firstLine="640"/>
        <w:rPr>
          <w:rFonts w:ascii="Times New Roman" w:eastAsia="仿宋_GB2312" w:hAnsi="Times New Roman"/>
          <w:sz w:val="32"/>
          <w:szCs w:val="32"/>
        </w:rPr>
      </w:pPr>
    </w:p>
    <w:p w:rsidR="006D2C0C" w:rsidRPr="00FD7A3B" w:rsidRDefault="006D2C0C" w:rsidP="006D2C0C">
      <w:pPr>
        <w:adjustRightInd w:val="0"/>
        <w:snapToGrid w:val="0"/>
        <w:spacing w:line="560" w:lineRule="exact"/>
        <w:ind w:firstLineChars="200" w:firstLine="640"/>
        <w:rPr>
          <w:rFonts w:eastAsia="仿宋_GB2312"/>
          <w:color w:val="FF0000"/>
          <w:sz w:val="32"/>
          <w:szCs w:val="32"/>
        </w:rPr>
      </w:pPr>
    </w:p>
    <w:p w:rsidR="006D2C0C" w:rsidRPr="006D2C0C" w:rsidRDefault="006D2C0C" w:rsidP="006D2C0C">
      <w:pPr>
        <w:pStyle w:val="a3"/>
        <w:shd w:val="clear" w:color="auto" w:fill="FFFFFF"/>
        <w:spacing w:line="480" w:lineRule="auto"/>
        <w:rPr>
          <w:rFonts w:ascii="仿宋_GB2312" w:eastAsia="仿宋_GB2312" w:hAnsi="????" w:hint="eastAsia"/>
          <w:color w:val="000000"/>
          <w:sz w:val="32"/>
          <w:szCs w:val="32"/>
        </w:rPr>
      </w:pPr>
    </w:p>
    <w:p w:rsidR="006D2C0C" w:rsidRPr="006D2C0C" w:rsidRDefault="006D2C0C">
      <w:pPr>
        <w:pStyle w:val="a3"/>
        <w:shd w:val="clear" w:color="auto" w:fill="FFFFFF"/>
        <w:spacing w:line="480" w:lineRule="auto"/>
        <w:rPr>
          <w:rFonts w:ascii="仿宋_GB2312" w:eastAsia="仿宋_GB2312" w:hAnsi="????" w:hint="eastAsia"/>
          <w:color w:val="000000"/>
          <w:sz w:val="32"/>
          <w:szCs w:val="32"/>
        </w:rPr>
      </w:pPr>
    </w:p>
    <w:sectPr w:rsidR="006D2C0C" w:rsidRPr="006D2C0C" w:rsidSect="000B32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FC" w:rsidRDefault="002800FC" w:rsidP="00CB2969">
      <w:r>
        <w:separator/>
      </w:r>
    </w:p>
  </w:endnote>
  <w:endnote w:type="continuationSeparator" w:id="0">
    <w:p w:rsidR="002800FC" w:rsidRDefault="002800FC" w:rsidP="00CB29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FC" w:rsidRDefault="002800FC" w:rsidP="00CB2969">
      <w:r>
        <w:separator/>
      </w:r>
    </w:p>
  </w:footnote>
  <w:footnote w:type="continuationSeparator" w:id="0">
    <w:p w:rsidR="002800FC" w:rsidRDefault="002800FC" w:rsidP="00CB2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FF8"/>
    <w:rsid w:val="0004208F"/>
    <w:rsid w:val="000B323C"/>
    <w:rsid w:val="002800FC"/>
    <w:rsid w:val="00285FEE"/>
    <w:rsid w:val="002D42D8"/>
    <w:rsid w:val="003B366B"/>
    <w:rsid w:val="006D2C0C"/>
    <w:rsid w:val="007A1D5B"/>
    <w:rsid w:val="00995434"/>
    <w:rsid w:val="009A5FF8"/>
    <w:rsid w:val="00CB2969"/>
    <w:rsid w:val="00D475E2"/>
    <w:rsid w:val="00D47DFD"/>
    <w:rsid w:val="00FC0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5F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5FF8"/>
    <w:rPr>
      <w:b/>
      <w:bCs/>
    </w:rPr>
  </w:style>
  <w:style w:type="character" w:styleId="a5">
    <w:name w:val="Hyperlink"/>
    <w:basedOn w:val="a0"/>
    <w:uiPriority w:val="99"/>
    <w:unhideWhenUsed/>
    <w:rsid w:val="003B366B"/>
    <w:rPr>
      <w:color w:val="0000FF" w:themeColor="hyperlink"/>
      <w:u w:val="single"/>
    </w:rPr>
  </w:style>
  <w:style w:type="character" w:styleId="a6">
    <w:name w:val="Placeholder Text"/>
    <w:basedOn w:val="a0"/>
    <w:uiPriority w:val="99"/>
    <w:semiHidden/>
    <w:rsid w:val="00D47DFD"/>
    <w:rPr>
      <w:color w:val="808080"/>
    </w:rPr>
  </w:style>
  <w:style w:type="paragraph" w:styleId="a7">
    <w:name w:val="Balloon Text"/>
    <w:basedOn w:val="a"/>
    <w:link w:val="Char"/>
    <w:uiPriority w:val="99"/>
    <w:semiHidden/>
    <w:unhideWhenUsed/>
    <w:rsid w:val="00D47DFD"/>
    <w:rPr>
      <w:sz w:val="18"/>
      <w:szCs w:val="18"/>
    </w:rPr>
  </w:style>
  <w:style w:type="character" w:customStyle="1" w:styleId="Char">
    <w:name w:val="批注框文本 Char"/>
    <w:basedOn w:val="a0"/>
    <w:link w:val="a7"/>
    <w:uiPriority w:val="99"/>
    <w:semiHidden/>
    <w:rsid w:val="00D47DFD"/>
    <w:rPr>
      <w:sz w:val="18"/>
      <w:szCs w:val="18"/>
    </w:rPr>
  </w:style>
  <w:style w:type="paragraph" w:styleId="a8">
    <w:name w:val="Date"/>
    <w:basedOn w:val="a"/>
    <w:next w:val="a"/>
    <w:link w:val="Char0"/>
    <w:uiPriority w:val="99"/>
    <w:semiHidden/>
    <w:unhideWhenUsed/>
    <w:rsid w:val="006D2C0C"/>
    <w:pPr>
      <w:ind w:leftChars="2500" w:left="100"/>
    </w:pPr>
  </w:style>
  <w:style w:type="character" w:customStyle="1" w:styleId="Char0">
    <w:name w:val="日期 Char"/>
    <w:basedOn w:val="a0"/>
    <w:link w:val="a8"/>
    <w:uiPriority w:val="99"/>
    <w:semiHidden/>
    <w:rsid w:val="006D2C0C"/>
  </w:style>
  <w:style w:type="paragraph" w:styleId="a9">
    <w:name w:val="Plain Text"/>
    <w:basedOn w:val="a"/>
    <w:link w:val="Char1"/>
    <w:rsid w:val="006D2C0C"/>
    <w:rPr>
      <w:rFonts w:ascii="宋体" w:eastAsia="宋体" w:hAnsi="Courier New" w:cs="Times New Roman"/>
      <w:szCs w:val="21"/>
    </w:rPr>
  </w:style>
  <w:style w:type="character" w:customStyle="1" w:styleId="Char1">
    <w:name w:val="纯文本 Char"/>
    <w:basedOn w:val="a0"/>
    <w:link w:val="a9"/>
    <w:rsid w:val="006D2C0C"/>
    <w:rPr>
      <w:rFonts w:ascii="宋体" w:eastAsia="宋体" w:hAnsi="Courier New" w:cs="Times New Roman"/>
      <w:szCs w:val="21"/>
    </w:rPr>
  </w:style>
  <w:style w:type="paragraph" w:styleId="aa">
    <w:name w:val="header"/>
    <w:basedOn w:val="a"/>
    <w:link w:val="Char2"/>
    <w:uiPriority w:val="99"/>
    <w:semiHidden/>
    <w:unhideWhenUsed/>
    <w:rsid w:val="00CB296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semiHidden/>
    <w:rsid w:val="00CB2969"/>
    <w:rPr>
      <w:sz w:val="18"/>
      <w:szCs w:val="18"/>
    </w:rPr>
  </w:style>
  <w:style w:type="paragraph" w:styleId="ab">
    <w:name w:val="footer"/>
    <w:basedOn w:val="a"/>
    <w:link w:val="Char3"/>
    <w:uiPriority w:val="99"/>
    <w:semiHidden/>
    <w:unhideWhenUsed/>
    <w:rsid w:val="00CB2969"/>
    <w:pPr>
      <w:tabs>
        <w:tab w:val="center" w:pos="4153"/>
        <w:tab w:val="right" w:pos="8306"/>
      </w:tabs>
      <w:snapToGrid w:val="0"/>
      <w:jc w:val="left"/>
    </w:pPr>
    <w:rPr>
      <w:sz w:val="18"/>
      <w:szCs w:val="18"/>
    </w:rPr>
  </w:style>
  <w:style w:type="character" w:customStyle="1" w:styleId="Char3">
    <w:name w:val="页脚 Char"/>
    <w:basedOn w:val="a0"/>
    <w:link w:val="ab"/>
    <w:uiPriority w:val="99"/>
    <w:semiHidden/>
    <w:rsid w:val="00CB29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F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5FF8"/>
    <w:rPr>
      <w:b/>
      <w:bCs/>
    </w:rPr>
  </w:style>
  <w:style w:type="character" w:styleId="a5">
    <w:name w:val="Hyperlink"/>
    <w:basedOn w:val="a0"/>
    <w:uiPriority w:val="99"/>
    <w:unhideWhenUsed/>
    <w:rsid w:val="003B36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21574">
      <w:bodyDiv w:val="1"/>
      <w:marLeft w:val="0"/>
      <w:marRight w:val="0"/>
      <w:marTop w:val="0"/>
      <w:marBottom w:val="0"/>
      <w:divBdr>
        <w:top w:val="none" w:sz="0" w:space="0" w:color="auto"/>
        <w:left w:val="none" w:sz="0" w:space="0" w:color="auto"/>
        <w:bottom w:val="none" w:sz="0" w:space="0" w:color="auto"/>
        <w:right w:val="none" w:sz="0" w:space="0" w:color="auto"/>
      </w:divBdr>
    </w:div>
    <w:div w:id="60563202">
      <w:bodyDiv w:val="1"/>
      <w:marLeft w:val="0"/>
      <w:marRight w:val="0"/>
      <w:marTop w:val="0"/>
      <w:marBottom w:val="0"/>
      <w:divBdr>
        <w:top w:val="none" w:sz="0" w:space="0" w:color="auto"/>
        <w:left w:val="none" w:sz="0" w:space="0" w:color="auto"/>
        <w:bottom w:val="none" w:sz="0" w:space="0" w:color="auto"/>
        <w:right w:val="none" w:sz="0" w:space="0" w:color="auto"/>
      </w:divBdr>
    </w:div>
    <w:div w:id="181674783">
      <w:bodyDiv w:val="1"/>
      <w:marLeft w:val="0"/>
      <w:marRight w:val="0"/>
      <w:marTop w:val="0"/>
      <w:marBottom w:val="0"/>
      <w:divBdr>
        <w:top w:val="none" w:sz="0" w:space="0" w:color="auto"/>
        <w:left w:val="none" w:sz="0" w:space="0" w:color="auto"/>
        <w:bottom w:val="none" w:sz="0" w:space="0" w:color="auto"/>
        <w:right w:val="none" w:sz="0" w:space="0" w:color="auto"/>
      </w:divBdr>
    </w:div>
    <w:div w:id="658926592">
      <w:bodyDiv w:val="1"/>
      <w:marLeft w:val="0"/>
      <w:marRight w:val="0"/>
      <w:marTop w:val="0"/>
      <w:marBottom w:val="0"/>
      <w:divBdr>
        <w:top w:val="none" w:sz="0" w:space="0" w:color="auto"/>
        <w:left w:val="none" w:sz="0" w:space="0" w:color="auto"/>
        <w:bottom w:val="none" w:sz="0" w:space="0" w:color="auto"/>
        <w:right w:val="none" w:sz="0" w:space="0" w:color="auto"/>
      </w:divBdr>
    </w:div>
    <w:div w:id="1031806189">
      <w:bodyDiv w:val="1"/>
      <w:marLeft w:val="0"/>
      <w:marRight w:val="0"/>
      <w:marTop w:val="0"/>
      <w:marBottom w:val="0"/>
      <w:divBdr>
        <w:top w:val="none" w:sz="0" w:space="0" w:color="auto"/>
        <w:left w:val="none" w:sz="0" w:space="0" w:color="auto"/>
        <w:bottom w:val="none" w:sz="0" w:space="0" w:color="auto"/>
        <w:right w:val="none" w:sz="0" w:space="0" w:color="auto"/>
      </w:divBdr>
    </w:div>
    <w:div w:id="1390768316">
      <w:bodyDiv w:val="1"/>
      <w:marLeft w:val="0"/>
      <w:marRight w:val="0"/>
      <w:marTop w:val="0"/>
      <w:marBottom w:val="0"/>
      <w:divBdr>
        <w:top w:val="none" w:sz="0" w:space="0" w:color="auto"/>
        <w:left w:val="none" w:sz="0" w:space="0" w:color="auto"/>
        <w:bottom w:val="none" w:sz="0" w:space="0" w:color="auto"/>
        <w:right w:val="none" w:sz="0" w:space="0" w:color="auto"/>
      </w:divBdr>
      <w:divsChild>
        <w:div w:id="1602563654">
          <w:marLeft w:val="0"/>
          <w:marRight w:val="0"/>
          <w:marTop w:val="0"/>
          <w:marBottom w:val="0"/>
          <w:divBdr>
            <w:top w:val="none" w:sz="0" w:space="0" w:color="auto"/>
            <w:left w:val="none" w:sz="0" w:space="0" w:color="auto"/>
            <w:bottom w:val="none" w:sz="0" w:space="0" w:color="auto"/>
            <w:right w:val="none" w:sz="0" w:space="0" w:color="auto"/>
          </w:divBdr>
          <w:divsChild>
            <w:div w:id="382943432">
              <w:marLeft w:val="0"/>
              <w:marRight w:val="0"/>
              <w:marTop w:val="0"/>
              <w:marBottom w:val="0"/>
              <w:divBdr>
                <w:top w:val="none" w:sz="0" w:space="0" w:color="auto"/>
                <w:left w:val="none" w:sz="0" w:space="0" w:color="auto"/>
                <w:bottom w:val="none" w:sz="0" w:space="0" w:color="auto"/>
                <w:right w:val="none" w:sz="0" w:space="0" w:color="auto"/>
              </w:divBdr>
              <w:divsChild>
                <w:div w:id="54135112">
                  <w:marLeft w:val="0"/>
                  <w:marRight w:val="0"/>
                  <w:marTop w:val="300"/>
                  <w:marBottom w:val="300"/>
                  <w:divBdr>
                    <w:top w:val="single" w:sz="6" w:space="0" w:color="E7E7E7"/>
                    <w:left w:val="single" w:sz="6" w:space="0" w:color="E7E7E7"/>
                    <w:bottom w:val="single" w:sz="6" w:space="0" w:color="E7E7E7"/>
                    <w:right w:val="single" w:sz="6" w:space="0" w:color="E7E7E7"/>
                  </w:divBdr>
                  <w:divsChild>
                    <w:div w:id="127822074">
                      <w:marLeft w:val="0"/>
                      <w:marRight w:val="0"/>
                      <w:marTop w:val="0"/>
                      <w:marBottom w:val="0"/>
                      <w:divBdr>
                        <w:top w:val="none" w:sz="0" w:space="0" w:color="auto"/>
                        <w:left w:val="none" w:sz="0" w:space="0" w:color="auto"/>
                        <w:bottom w:val="single" w:sz="6" w:space="8" w:color="E1E1E1"/>
                        <w:right w:val="none" w:sz="0" w:space="0" w:color="auto"/>
                      </w:divBdr>
                    </w:div>
                    <w:div w:id="17837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454</Words>
  <Characters>2594</Characters>
  <Application>Microsoft Office Word</Application>
  <DocSecurity>0</DocSecurity>
  <Lines>21</Lines>
  <Paragraphs>6</Paragraphs>
  <ScaleCrop>false</ScaleCrop>
  <Company>sdu</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lifake</dc:creator>
  <cp:lastModifiedBy>200799017944</cp:lastModifiedBy>
  <cp:revision>2</cp:revision>
  <dcterms:created xsi:type="dcterms:W3CDTF">2019-04-24T07:10:00Z</dcterms:created>
  <dcterms:modified xsi:type="dcterms:W3CDTF">2019-04-24T07:10:00Z</dcterms:modified>
</cp:coreProperties>
</file>